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</w:rPr>
      </w:pP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黑体" w:hAnsi="黑体" w:eastAsia="黑体" w:cs="Times New Roman"/>
          <w:sz w:val="44"/>
          <w:szCs w:val="44"/>
        </w:rPr>
      </w:pPr>
      <w:bookmarkStart w:id="0" w:name="_GoBack"/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数据采购</w:t>
      </w:r>
      <w:r>
        <w:rPr>
          <w:rFonts w:hint="eastAsia" w:hAnsi="仿宋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tbl>
      <w:tblPr>
        <w:tblStyle w:val="3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312"/>
        <w:gridCol w:w="103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</w:t>
            </w:r>
            <w:r>
              <w:rPr>
                <w:rFonts w:hint="eastAsia" w:hAnsi="仿宋" w:cs="Times New Roman"/>
                <w:sz w:val="24"/>
                <w:lang w:eastAsia="zh-CN"/>
              </w:rPr>
              <w:t>人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：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 w:val="24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资格审查是否通过：是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/否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4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31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是否具有需求领域相关业绩，能否满足需求（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数据提供方案部分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1.技术资料完整性、规范性：技术资料文件是否齐全，内容是否完整；是否具备必须的相关资料说明文档（5分）。技术资料的命名、组织是否逻辑有序，规范易读（5分）。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2.数据提供方案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：方案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及建议是否完善具体、合理、可行性高、有针对性（20分）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；数据提供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时间是否满足需要（10分）。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3.技术资料关键指标满足性：是否能够达到技术资料需求的精度、构成等关键指标要求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10分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区域、时相满足性（10分）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4.后期服务承诺（10分）：后期服务保障是否及时，后续服务承诺等。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5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年   月   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587B791F"/>
    <w:rsid w:val="1D37025D"/>
    <w:rsid w:val="587B791F"/>
    <w:rsid w:val="5C711CB0"/>
    <w:rsid w:val="645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339</Characters>
  <Lines>0</Lines>
  <Paragraphs>0</Paragraphs>
  <TotalTime>0</TotalTime>
  <ScaleCrop>false</ScaleCrop>
  <LinksUpToDate>false</LinksUpToDate>
  <CharactersWithSpaces>339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2022-10-24T01:15:00Z</dcterms:created>
  <dc:creator>企鹅变成鱼</dc:creator>
  <cp:lastModifiedBy>企鹅变成鱼</cp:lastModifiedBy>
  <dcterms:modified xsi:type="dcterms:W3CDTF">2022-10-24T01:16:37Z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9A8519457DAD42B9AA907C91663B4667</vt:lpwstr>
  </property>
</Properties>
</file>