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</w:pPr>
      <w:bookmarkStart w:id="0" w:name="_GoBack"/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外协项目竞争性优选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bookmarkEnd w:id="0"/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资格审查是否通过：是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(25分)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1.业绩和保障措施（15分）：与外协项目相关业绩，保障措施是否具体，主要装备是否符合本项目要求，能否满足项目顺利开展的条件。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2.项目组结构及成员（10分）：项目组人员专业结构及技术职称高中低比例是否合理，管理和技术人员比例是否协调。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任务解决方案部分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（65分）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1.项目任务目标理解（15分）：对项目任务、目标理解是否准确。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2.技术路线及方法（20分）：技术路线是否清晰、可行，流程是否科学、详细，是否有技术路线图（框架图）；研究方法或者工作方法是否科学、合理，能否保障项目任务实施和目标实现。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3.实施方案（20分）：阶段安排、时间进度以及各阶段内的主要工作目标，拟完成的工作任务，阶段成果等是否合理，是否具有可操作性。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4.预期成果和后期服务（10分）：成果是否满足需求、齐全详尽，后续工作承诺等。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报价预算（10分）：经费预算使用是否合理、合规、科学、完整。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hint="eastAsia"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专家签字：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300" w:firstLineChars="2100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33CE2E05"/>
    <w:rsid w:val="33C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2022-10-24T01:14:00Z</dcterms:created>
  <dc:creator>企鹅变成鱼</dc:creator>
  <cp:lastModifiedBy>企鹅变成鱼</cp:lastModifiedBy>
  <dcterms:modified xsi:type="dcterms:W3CDTF">2022-10-24T01:14:39Z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5738DF6AF4BB49F382E6229B5CC6A249</vt:lpwstr>
  </property>
</Properties>
</file>